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F" w:rsidRDefault="00AC38B7">
      <w:r w:rsidRPr="00AC38B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-2.4pt;width:462.75pt;height:61.35pt;z-index:251660288;mso-width-relative:margin;mso-height-relative:margin" strokecolor="red" strokeweight="1.5pt">
            <v:textbox>
              <w:txbxContent>
                <w:p w:rsidR="003E7470" w:rsidRDefault="00863CFC" w:rsidP="00863CFC">
                  <w:pPr>
                    <w:spacing w:after="0"/>
                  </w:pPr>
                  <w:r>
                    <w:t>Theoretical aspects</w:t>
                  </w:r>
                  <w:r w:rsidR="003E7470">
                    <w:t xml:space="preserve"> :</w:t>
                  </w:r>
                </w:p>
                <w:p w:rsidR="003E7470" w:rsidRDefault="00DC160D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Metrical correspondences in the right triangle</w:t>
                  </w:r>
                </w:p>
                <w:p w:rsidR="003E7470" w:rsidRDefault="00863CFC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>Rational numbers calculus</w:t>
                  </w:r>
                </w:p>
              </w:txbxContent>
            </v:textbox>
          </v:shape>
        </w:pict>
      </w:r>
      <w:r w:rsidRPr="00AC38B7">
        <w:rPr>
          <w:noProof/>
        </w:rPr>
        <w:pict>
          <v:shape id="_x0000_s1030" type="#_x0000_t202" style="position:absolute;margin-left:2.6pt;margin-top:505.35pt;width:462.75pt;height:103.5pt;z-index:251664384;mso-width-relative:margin;mso-height-relative:margin" strokecolor="red" strokeweight="1.5pt">
            <v:textbox>
              <w:txbxContent>
                <w:p w:rsidR="003E7470" w:rsidRDefault="007478DC" w:rsidP="003E7470">
                  <w:r>
                    <w:t>Conclusions</w:t>
                  </w:r>
                  <w:r w:rsidR="003E7470">
                    <w:t xml:space="preserve"> :</w:t>
                  </w:r>
                </w:p>
                <w:p w:rsidR="003E7470" w:rsidRDefault="003E7470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C37A7C">
                    <w:t xml:space="preserve">The theorem of </w:t>
                  </w:r>
                  <w:proofErr w:type="spellStart"/>
                  <w:r w:rsidR="00C37A7C">
                    <w:t>Pitagoras</w:t>
                  </w:r>
                  <w:proofErr w:type="spellEnd"/>
                </w:p>
                <w:p w:rsidR="00C37A7C" w:rsidRDefault="00AC38B7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</v:shape>
        </w:pict>
      </w:r>
      <w:r w:rsidRPr="00AC38B7">
        <w:rPr>
          <w:noProof/>
        </w:rPr>
        <w:pict>
          <v:shape id="_x0000_s1027" type="#_x0000_t202" style="position:absolute;margin-left:2.6pt;margin-top:68.1pt;width:462.75pt;height:112.5pt;z-index:251661312;mso-width-relative:margin;mso-height-relative:margin" strokecolor="red" strokeweight="1.5pt">
            <v:textbox>
              <w:txbxContent>
                <w:p w:rsidR="003E7470" w:rsidRDefault="00863CFC" w:rsidP="00863CFC">
                  <w:pPr>
                    <w:spacing w:after="0"/>
                  </w:pPr>
                  <w:r>
                    <w:t>Practical issue</w:t>
                  </w:r>
                  <w:r w:rsidR="003E7470">
                    <w:t xml:space="preserve">  :</w:t>
                  </w:r>
                </w:p>
                <w:p w:rsidR="00863CFC" w:rsidRDefault="003E7470" w:rsidP="003E7470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  <w:r w:rsidR="00DC160D">
                    <w:t xml:space="preserve">Using the surface of the square discover the link between square of the hypotenuse length and the sum of square of </w:t>
                  </w:r>
                  <w:proofErr w:type="spellStart"/>
                  <w:r w:rsidR="00DC160D">
                    <w:t>cathetes</w:t>
                  </w:r>
                  <w:proofErr w:type="spellEnd"/>
                  <w:r w:rsidR="00DC160D">
                    <w:t xml:space="preserve"> length </w:t>
                  </w:r>
                  <w:r w:rsidR="00863CFC">
                    <w:t>.</w:t>
                  </w:r>
                </w:p>
                <w:p w:rsidR="00D546F2" w:rsidRDefault="00863CFC" w:rsidP="00D546F2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t xml:space="preserve">Pupils will </w:t>
                  </w:r>
                  <w:r w:rsidR="00DC160D">
                    <w:t xml:space="preserve">measure the sides of an given right triangle. They will calculate the square of the sides. If they </w:t>
                  </w:r>
                  <w:r w:rsidR="00D546F2">
                    <w:t>draw</w:t>
                  </w:r>
                  <w:r w:rsidR="00DC160D">
                    <w:t xml:space="preserve"> s</w:t>
                  </w:r>
                  <w:r w:rsidR="00D546F2">
                    <w:t>q</w:t>
                  </w:r>
                  <w:r w:rsidR="00DC160D">
                    <w:t xml:space="preserve">uares </w:t>
                  </w:r>
                  <w:r w:rsidR="00D546F2">
                    <w:t>on every side of the triangle they should see that the biggest square can be completely covered by the two small squares.</w:t>
                  </w:r>
                </w:p>
                <w:p w:rsidR="003E7470" w:rsidRDefault="003E7470" w:rsidP="00D546F2">
                  <w:pPr>
                    <w:pStyle w:val="a6"/>
                    <w:jc w:val="both"/>
                  </w:pPr>
                </w:p>
                <w:p w:rsidR="003E7470" w:rsidRDefault="003E7470" w:rsidP="002474A4">
                  <w:pPr>
                    <w:pStyle w:val="a6"/>
                  </w:pPr>
                </w:p>
              </w:txbxContent>
            </v:textbox>
          </v:shape>
        </w:pict>
      </w:r>
    </w:p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AC38B7">
      <w:r w:rsidRPr="00AC38B7">
        <w:rPr>
          <w:noProof/>
        </w:rPr>
        <w:pict>
          <v:shape id="_x0000_s1028" type="#_x0000_t202" style="position:absolute;margin-left:2.6pt;margin-top:8.05pt;width:462.75pt;height:306.75pt;z-index:251662336;mso-width-relative:margin;mso-height-relative:margin" strokecolor="red" strokeweight="1.5pt">
            <v:textbox>
              <w:txbxContent>
                <w:p w:rsidR="003E7470" w:rsidRDefault="00D546F2" w:rsidP="003E7470">
                  <w:pPr>
                    <w:pStyle w:val="a6"/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B06792" w:rsidP="003E7470">
                  <w:pPr>
                    <w:pStyle w:val="a6"/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</w:p>
                <w:p w:rsidR="00D546F2" w:rsidRDefault="00B06792" w:rsidP="003E7470">
                  <w:pPr>
                    <w:pStyle w:val="a6"/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 w:rsidR="00C37A7C">
                    <w:rPr>
                      <w:noProof/>
                    </w:rPr>
                    <w:tab/>
                  </w:r>
                  <w:r w:rsidR="00C37A7C">
                    <w:rPr>
                      <w:noProof/>
                    </w:rPr>
                    <w:tab/>
                  </w:r>
                  <w:r w:rsidR="00C37A7C">
                    <w:rPr>
                      <w:noProof/>
                    </w:rPr>
                    <w:tab/>
                    <w:t>B</w:t>
                  </w: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D546F2" w:rsidP="003E7470">
                  <w:pPr>
                    <w:pStyle w:val="a6"/>
                    <w:rPr>
                      <w:noProof/>
                    </w:rPr>
                  </w:pPr>
                </w:p>
                <w:p w:rsidR="00D546F2" w:rsidRDefault="00D546F2" w:rsidP="003E7470">
                  <w:pPr>
                    <w:pStyle w:val="a6"/>
                  </w:pPr>
                  <w:r>
                    <w:t>AC=20 cm, AB=15 cm, BC=25 cm</w:t>
                  </w:r>
                </w:p>
                <w:p w:rsidR="00D546F2" w:rsidRDefault="00AC38B7" w:rsidP="003E7470">
                  <w:pPr>
                    <w:pStyle w:val="a6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=400</m:t>
                      </m:r>
                    </m:oMath>
                  </m:oMathPara>
                </w:p>
                <w:p w:rsidR="00D546F2" w:rsidRDefault="00AC38B7" w:rsidP="003E7470">
                  <w:pPr>
                    <w:pStyle w:val="a6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=225</m:t>
                      </m:r>
                    </m:oMath>
                  </m:oMathPara>
                </w:p>
                <w:p w:rsidR="00B06792" w:rsidRDefault="00AC38B7" w:rsidP="003E7470">
                  <w:pPr>
                    <w:pStyle w:val="a6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=625</m:t>
                      </m:r>
                    </m:oMath>
                  </m:oMathPara>
                </w:p>
                <w:p w:rsidR="00B06792" w:rsidRPr="00D546F2" w:rsidRDefault="00B06792" w:rsidP="003E7470">
                  <w:pPr>
                    <w:pStyle w:val="a6"/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400+225=625⟹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Pr="00AC38B7">
        <w:rPr>
          <w:noProof/>
        </w:rPr>
        <w:pict>
          <v:rect id="_x0000_s1040" style="position:absolute;margin-left:313.5pt;margin-top:8.05pt;width:136.3pt;height:127.2pt;rotation:2067088fd;z-index:251675648">
            <v:fill r:id="rId7" o:title="Water droplets" type="tile"/>
          </v:rect>
        </w:pict>
      </w:r>
    </w:p>
    <w:p w:rsidR="009C2D18" w:rsidRDefault="009C2D18"/>
    <w:p w:rsidR="009C2D18" w:rsidRDefault="009C2D18"/>
    <w:p w:rsidR="009C2D18" w:rsidRDefault="00AC38B7">
      <w:r w:rsidRPr="00AC38B7">
        <w:rPr>
          <w:noProof/>
        </w:rPr>
        <w:pict>
          <v:rect id="_x0000_s1039" style="position:absolute;margin-left:225pt;margin-top:13.4pt;width:63.75pt;height:73.5pt;z-index:251673600">
            <v:fill r:id="rId8" o:title="Newsprint" type="tile"/>
          </v:rect>
        </w:pict>
      </w:r>
      <w:r w:rsidRPr="00AC38B7">
        <w:rPr>
          <w:noProof/>
        </w:rPr>
        <w:pict>
          <v:shape id="_x0000_s1035" type="#_x0000_t202" style="position:absolute;margin-left:345pt;margin-top:13.4pt;width:48pt;height:27pt;z-index:251676672" stroked="f">
            <v:textbox>
              <w:txbxContent>
                <w:p w:rsidR="00D546F2" w:rsidRDefault="00D546F2">
                  <w:r>
                    <w:t>25 cm</w:t>
                  </w:r>
                </w:p>
              </w:txbxContent>
            </v:textbox>
          </v:shape>
        </w:pict>
      </w:r>
      <w:r w:rsidRPr="00AC38B7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288.75pt;margin-top:13.4pt;width:118.5pt;height:73.5pt;z-index:251665408">
            <v:textbox>
              <w:txbxContent>
                <w:p w:rsidR="00D546F2" w:rsidRDefault="00D546F2"/>
              </w:txbxContent>
            </v:textbox>
          </v:shape>
        </w:pict>
      </w:r>
    </w:p>
    <w:p w:rsidR="009C2D18" w:rsidRDefault="00AC38B7">
      <w:r w:rsidRPr="00AC38B7">
        <w:rPr>
          <w:noProof/>
        </w:rPr>
        <w:pict>
          <v:shape id="_x0000_s1037" type="#_x0000_t202" style="position:absolute;margin-left:238.5pt;margin-top:19.8pt;width:45pt;height:18pt;z-index:251674624" stroked="f">
            <v:textbox>
              <w:txbxContent>
                <w:p w:rsidR="00D546F2" w:rsidRDefault="00D546F2">
                  <w:r>
                    <w:t>15 cm</w:t>
                  </w:r>
                </w:p>
              </w:txbxContent>
            </v:textbox>
          </v:shape>
        </w:pict>
      </w:r>
    </w:p>
    <w:p w:rsidR="009C2D18" w:rsidRDefault="009C2D18"/>
    <w:p w:rsidR="009C2D18" w:rsidRDefault="00AC38B7">
      <w:r w:rsidRPr="00AC38B7">
        <w:rPr>
          <w:noProof/>
        </w:rPr>
        <w:pict>
          <v:shape id="_x0000_s1033" type="#_x0000_t202" style="position:absolute;margin-left:261.75pt;margin-top:16.05pt;width:21.75pt;height:25.5pt;z-index:251666432" stroked="f">
            <v:textbox>
              <w:txbxContent>
                <w:p w:rsidR="00D546F2" w:rsidRDefault="00D546F2">
                  <w:r>
                    <w:t>A</w:t>
                  </w:r>
                </w:p>
              </w:txbxContent>
            </v:textbox>
          </v:shape>
        </w:pict>
      </w:r>
      <w:r w:rsidRPr="00AC38B7">
        <w:rPr>
          <w:noProof/>
        </w:rPr>
        <w:pict>
          <v:rect id="_x0000_s1038" style="position:absolute;margin-left:288.75pt;margin-top:9.3pt;width:118.5pt;height:104.25pt;z-index:251671552" fillcolor="yellow">
            <v:fill r:id="rId9" o:title="Pink tissue paper" type="tile"/>
          </v:rect>
        </w:pict>
      </w:r>
      <w:r w:rsidRPr="00AC38B7">
        <w:rPr>
          <w:noProof/>
        </w:rPr>
        <w:pict>
          <v:shape id="_x0000_s1034" type="#_x0000_t202" style="position:absolute;margin-left:407.25pt;margin-top:21.3pt;width:26.25pt;height:31.5pt;z-index:251667456" stroked="f">
            <v:textbox>
              <w:txbxContent>
                <w:p w:rsidR="00D546F2" w:rsidRDefault="00D546F2">
                  <w:r>
                    <w:t>C</w:t>
                  </w:r>
                </w:p>
              </w:txbxContent>
            </v:textbox>
          </v:shape>
        </w:pict>
      </w:r>
      <w:r w:rsidRPr="00AC38B7">
        <w:rPr>
          <w:noProof/>
        </w:rPr>
        <w:pict>
          <v:shape id="_x0000_s1036" type="#_x0000_t202" style="position:absolute;margin-left:313.5pt;margin-top:16.05pt;width:46.5pt;height:19.5pt;z-index:251672576" stroked="f">
            <v:textbox>
              <w:txbxContent>
                <w:p w:rsidR="00D546F2" w:rsidRDefault="00D546F2">
                  <w:r>
                    <w:t>20 cm</w:t>
                  </w:r>
                </w:p>
              </w:txbxContent>
            </v:textbox>
          </v:shape>
        </w:pict>
      </w:r>
    </w:p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p w:rsidR="009C2D18" w:rsidRDefault="009C2D18"/>
    <w:sectPr w:rsidR="009C2D18" w:rsidSect="00BF35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19" w:rsidRDefault="00C16319" w:rsidP="003E7470">
      <w:pPr>
        <w:spacing w:after="0" w:line="240" w:lineRule="auto"/>
      </w:pPr>
      <w:r>
        <w:separator/>
      </w:r>
    </w:p>
  </w:endnote>
  <w:endnote w:type="continuationSeparator" w:id="0">
    <w:p w:rsidR="00C16319" w:rsidRDefault="00C16319" w:rsidP="003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19" w:rsidRDefault="00C16319" w:rsidP="003E7470">
      <w:pPr>
        <w:spacing w:after="0" w:line="240" w:lineRule="auto"/>
      </w:pPr>
      <w:r>
        <w:separator/>
      </w:r>
    </w:p>
  </w:footnote>
  <w:footnote w:type="continuationSeparator" w:id="0">
    <w:p w:rsidR="00C16319" w:rsidRDefault="00C16319" w:rsidP="003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0" w:rsidRDefault="003E7470">
    <w:pPr>
      <w:pStyle w:val="a3"/>
    </w:pPr>
    <w:proofErr w:type="spellStart"/>
    <w:r>
      <w:t>Fișa</w:t>
    </w:r>
    <w:proofErr w:type="spellEnd"/>
    <w:r>
      <w:t xml:space="preserve"> de </w:t>
    </w:r>
    <w:proofErr w:type="spellStart"/>
    <w:r>
      <w:t>lucru</w:t>
    </w:r>
    <w:proofErr w:type="spellEnd"/>
    <w:r>
      <w:t xml:space="preserve"> a </w:t>
    </w:r>
    <w:proofErr w:type="spellStart"/>
    <w:r>
      <w:t>proiectului</w:t>
    </w:r>
    <w:proofErr w:type="spellEnd"/>
    <w:r>
      <w:t xml:space="preserve"> ”Mathematics festival”</w:t>
    </w:r>
    <w:r>
      <w:tab/>
    </w:r>
    <w:proofErr w:type="spellStart"/>
    <w:r>
      <w:t>Școala</w:t>
    </w:r>
    <w:proofErr w:type="spellEnd"/>
    <w:r>
      <w:t xml:space="preserve"> </w:t>
    </w:r>
    <w:proofErr w:type="spellStart"/>
    <w:r>
      <w:t>Gimnazială</w:t>
    </w:r>
    <w:proofErr w:type="spellEnd"/>
    <w:r>
      <w:t xml:space="preserve"> ”</w:t>
    </w:r>
    <w:proofErr w:type="spellStart"/>
    <w:r>
      <w:t>Avram</w:t>
    </w:r>
    <w:proofErr w:type="spellEnd"/>
    <w:r>
      <w:t xml:space="preserve"> </w:t>
    </w:r>
    <w:proofErr w:type="spellStart"/>
    <w:r>
      <w:t>Iancu</w:t>
    </w:r>
    <w:proofErr w:type="spellEnd"/>
    <w:r>
      <w:t xml:space="preserve">”, </w:t>
    </w:r>
    <w:proofErr w:type="spellStart"/>
    <w:r>
      <w:t>Dej</w:t>
    </w:r>
    <w:proofErr w:type="spellEnd"/>
  </w:p>
  <w:p w:rsidR="003E7470" w:rsidRDefault="003E7470">
    <w:pPr>
      <w:pStyle w:val="a3"/>
    </w:pPr>
    <w:proofErr w:type="spellStart"/>
    <w:r>
      <w:t>Profesor</w:t>
    </w:r>
    <w:proofErr w:type="spellEnd"/>
    <w:r>
      <w:t xml:space="preserve"> </w:t>
    </w:r>
    <w:proofErr w:type="spellStart"/>
    <w:r>
      <w:t>îndrumător</w:t>
    </w:r>
    <w:proofErr w:type="spellEnd"/>
    <w:r>
      <w:t>:</w:t>
    </w:r>
    <w:r>
      <w:tab/>
    </w:r>
    <w:r w:rsidR="00DB7778">
      <w:t>D</w:t>
    </w:r>
    <w:r w:rsidR="00DC160D">
      <w:t xml:space="preserve">aniela </w:t>
    </w:r>
    <w:proofErr w:type="spellStart"/>
    <w:r w:rsidR="00DC160D">
      <w:t>Rus</w:t>
    </w:r>
    <w:proofErr w:type="spellEnd"/>
    <w:r>
      <w:t xml:space="preserve">                                     </w:t>
    </w:r>
    <w:proofErr w:type="spellStart"/>
    <w:r>
      <w:t>Grupa</w:t>
    </w:r>
    <w:proofErr w:type="spellEnd"/>
    <w:r>
      <w:t xml:space="preserve"> de </w:t>
    </w:r>
    <w:proofErr w:type="spellStart"/>
    <w:r>
      <w:t>elevi</w:t>
    </w:r>
    <w:proofErr w:type="spellEnd"/>
    <w:r>
      <w:t>:</w:t>
    </w:r>
  </w:p>
  <w:p w:rsidR="003E7470" w:rsidRDefault="003E7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08A"/>
    <w:multiLevelType w:val="hybridMultilevel"/>
    <w:tmpl w:val="6D0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96A"/>
    <w:multiLevelType w:val="hybridMultilevel"/>
    <w:tmpl w:val="3DA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3A39"/>
    <w:multiLevelType w:val="hybridMultilevel"/>
    <w:tmpl w:val="09D0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70"/>
    <w:rsid w:val="000A473C"/>
    <w:rsid w:val="001F01D1"/>
    <w:rsid w:val="00215BA4"/>
    <w:rsid w:val="00223A48"/>
    <w:rsid w:val="00230B0B"/>
    <w:rsid w:val="002474A4"/>
    <w:rsid w:val="00287199"/>
    <w:rsid w:val="003E7470"/>
    <w:rsid w:val="003F3B00"/>
    <w:rsid w:val="004A19C0"/>
    <w:rsid w:val="004F40F1"/>
    <w:rsid w:val="00582220"/>
    <w:rsid w:val="007478DC"/>
    <w:rsid w:val="0078101A"/>
    <w:rsid w:val="007B237B"/>
    <w:rsid w:val="00863CFC"/>
    <w:rsid w:val="009201AD"/>
    <w:rsid w:val="009C2D18"/>
    <w:rsid w:val="00AC38B7"/>
    <w:rsid w:val="00B06792"/>
    <w:rsid w:val="00BF35FF"/>
    <w:rsid w:val="00C16319"/>
    <w:rsid w:val="00C37A7C"/>
    <w:rsid w:val="00D13272"/>
    <w:rsid w:val="00D546F2"/>
    <w:rsid w:val="00DB7778"/>
    <w:rsid w:val="00D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7470"/>
  </w:style>
  <w:style w:type="paragraph" w:styleId="a4">
    <w:name w:val="footer"/>
    <w:basedOn w:val="a"/>
    <w:link w:val="Char0"/>
    <w:uiPriority w:val="99"/>
    <w:semiHidden/>
    <w:unhideWhenUsed/>
    <w:rsid w:val="003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E7470"/>
  </w:style>
  <w:style w:type="paragraph" w:styleId="a5">
    <w:name w:val="Balloon Text"/>
    <w:basedOn w:val="a"/>
    <w:link w:val="Char1"/>
    <w:uiPriority w:val="99"/>
    <w:semiHidden/>
    <w:unhideWhenUsed/>
    <w:rsid w:val="003E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74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47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15B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PETROS</cp:lastModifiedBy>
  <cp:revision>2</cp:revision>
  <dcterms:created xsi:type="dcterms:W3CDTF">2014-11-20T15:48:00Z</dcterms:created>
  <dcterms:modified xsi:type="dcterms:W3CDTF">2014-11-20T15:48:00Z</dcterms:modified>
</cp:coreProperties>
</file>